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6C" w:rsidRDefault="00F5066C" w:rsidP="00F5066C">
      <w:pPr>
        <w:autoSpaceDE w:val="0"/>
        <w:autoSpaceDN w:val="0"/>
        <w:adjustRightInd w:val="0"/>
        <w:spacing w:line="558" w:lineRule="exact"/>
        <w:jc w:val="left"/>
        <w:rPr>
          <w:rFonts w:ascii="仿宋" w:eastAsia="仿宋" w:hAnsi="仿宋"/>
          <w:sz w:val="21"/>
          <w:szCs w:val="21"/>
        </w:rPr>
      </w:pPr>
      <w:r w:rsidRPr="00987300">
        <w:rPr>
          <w:rFonts w:ascii="仿宋" w:eastAsia="仿宋" w:hAnsi="仿宋" w:hint="eastAsia"/>
          <w:sz w:val="21"/>
          <w:szCs w:val="21"/>
        </w:rPr>
        <w:t>（</w:t>
      </w:r>
      <w:proofErr w:type="gramStart"/>
      <w:r w:rsidRPr="00987300">
        <w:rPr>
          <w:rFonts w:ascii="仿宋" w:eastAsia="仿宋" w:hAnsi="仿宋" w:hint="eastAsia"/>
          <w:sz w:val="21"/>
          <w:szCs w:val="21"/>
        </w:rPr>
        <w:t>潍</w:t>
      </w:r>
      <w:proofErr w:type="gramEnd"/>
      <w:r w:rsidRPr="00987300">
        <w:rPr>
          <w:rFonts w:ascii="仿宋" w:eastAsia="仿宋" w:hAnsi="仿宋" w:hint="eastAsia"/>
          <w:sz w:val="21"/>
          <w:szCs w:val="21"/>
        </w:rPr>
        <w:t>院政字〔2022〕56号，潍坊学院党委（校长）办公室，2022年11月10日印发）</w:t>
      </w:r>
    </w:p>
    <w:p w:rsidR="00903951" w:rsidRDefault="00903951" w:rsidP="00903951">
      <w:pPr>
        <w:widowControl/>
        <w:spacing w:line="578" w:lineRule="exact"/>
        <w:jc w:val="left"/>
      </w:pPr>
    </w:p>
    <w:p w:rsidR="00CF42A1" w:rsidRDefault="00CF42A1" w:rsidP="00CF42A1">
      <w:pPr>
        <w:widowControl/>
        <w:shd w:val="clear" w:color="auto" w:fill="FFFFFF"/>
        <w:spacing w:line="578" w:lineRule="exact"/>
        <w:jc w:val="center"/>
        <w:outlineLvl w:val="0"/>
        <w:rPr>
          <w:rFonts w:ascii="方正小标宋_GBK" w:eastAsia="方正小标宋_GBK" w:hAnsi="等线 Light" w:cs="宋体" w:hint="eastAsia"/>
          <w:bCs/>
          <w:color w:val="000000"/>
          <w:kern w:val="36"/>
          <w:sz w:val="44"/>
          <w:szCs w:val="44"/>
        </w:rPr>
      </w:pPr>
      <w:r>
        <w:rPr>
          <w:rFonts w:ascii="方正小标宋_GBK" w:eastAsia="方正小标宋_GBK" w:hAnsi="等线 Light" w:cs="宋体" w:hint="eastAsia"/>
          <w:bCs/>
          <w:color w:val="000000"/>
          <w:kern w:val="36"/>
          <w:sz w:val="44"/>
          <w:szCs w:val="44"/>
        </w:rPr>
        <w:t>潍坊学院通用资产配置标准</w:t>
      </w:r>
    </w:p>
    <w:p w:rsidR="00CF42A1" w:rsidRDefault="00CF42A1" w:rsidP="00CF42A1">
      <w:pPr>
        <w:autoSpaceDE w:val="0"/>
        <w:autoSpaceDN w:val="0"/>
        <w:adjustRightInd w:val="0"/>
        <w:spacing w:line="578" w:lineRule="exact"/>
        <w:ind w:firstLineChars="200" w:firstLine="632"/>
        <w:jc w:val="left"/>
        <w:rPr>
          <w:rFonts w:eastAsia="方正楷体_GBK" w:cs="Calibri" w:hint="eastAsia"/>
          <w:color w:val="000000"/>
          <w:kern w:val="0"/>
          <w:szCs w:val="32"/>
          <w:shd w:val="clear" w:color="auto" w:fill="FFFFFF"/>
          <w:lang w:bidi="ar"/>
        </w:rPr>
      </w:pPr>
    </w:p>
    <w:p w:rsidR="00CF42A1" w:rsidRDefault="00CF42A1" w:rsidP="00CF42A1">
      <w:pPr>
        <w:autoSpaceDE w:val="0"/>
        <w:autoSpaceDN w:val="0"/>
        <w:adjustRightInd w:val="0"/>
        <w:spacing w:line="578" w:lineRule="exact"/>
        <w:ind w:firstLineChars="200" w:firstLine="632"/>
        <w:jc w:val="left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eastAsia="方正楷体_GBK" w:cs="Calibri" w:hint="eastAsia"/>
          <w:color w:val="000000"/>
          <w:kern w:val="0"/>
          <w:szCs w:val="32"/>
          <w:shd w:val="clear" w:color="auto" w:fill="FFFFFF"/>
          <w:lang w:bidi="ar"/>
        </w:rPr>
        <w:t>第一条</w:t>
      </w:r>
      <w:r>
        <w:rPr>
          <w:rFonts w:eastAsia="方正楷体_GBK" w:cs="Calibri" w:hint="eastAsia"/>
          <w:color w:val="000000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eastAsia="方正楷体_GBK" w:cs="Calibri"/>
          <w:color w:val="000000"/>
          <w:kern w:val="0"/>
          <w:szCs w:val="32"/>
          <w:shd w:val="clear" w:color="auto" w:fill="FFFFFF"/>
          <w:lang w:bidi="ar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为进一步贯彻落实中央八项规定精神和中央、省厉行勤俭节约、反对铺张浪费要求，规范学校通用资产配置管理，根据《山东省省级行政事业单位通用资产配置标准》《山东省省属高等学校国有资产管理办法》和学校国有资产</w:t>
      </w:r>
      <w:r>
        <w:rPr>
          <w:rFonts w:ascii="仿宋" w:eastAsia="仿宋" w:hAnsi="仿宋" w:cs="宋体"/>
          <w:color w:val="000000"/>
          <w:kern w:val="0"/>
          <w:szCs w:val="32"/>
        </w:rPr>
        <w:t>管理有关规定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，结合学校实际，制定本标准。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3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方正楷体_GBK" w:eastAsia="方正楷体_GBK" w:hAnsi="楷体" w:cs="宋体" w:hint="eastAsia"/>
          <w:bCs/>
          <w:color w:val="000000"/>
          <w:kern w:val="0"/>
          <w:szCs w:val="32"/>
        </w:rPr>
        <w:t xml:space="preserve">第二条 </w:t>
      </w:r>
      <w:r>
        <w:rPr>
          <w:rFonts w:ascii="方正楷体_GBK" w:eastAsia="方正楷体_GBK" w:hAnsi="楷体" w:cs="宋体"/>
          <w:bCs/>
          <w:color w:val="000000"/>
          <w:kern w:val="0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本标准所称通用资产，是指满足学校办公基本需要的设备、家具，不含专业性、涉密性的办公设备、家具。对未列入《潍坊学院通用资产配置标准表》（附件）的其他通用资产，应当按照与单位履行职能相适应的原则，从严控制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3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方正楷体_GBK" w:eastAsia="方正楷体_GBK" w:hAnsi="楷体" w:cs="宋体" w:hint="eastAsia"/>
          <w:bCs/>
          <w:color w:val="000000"/>
          <w:kern w:val="0"/>
          <w:szCs w:val="32"/>
        </w:rPr>
        <w:t xml:space="preserve">第三条 </w:t>
      </w:r>
      <w:r>
        <w:rPr>
          <w:rFonts w:ascii="楷体" w:eastAsia="楷体" w:hAnsi="楷体" w:cs="宋体"/>
          <w:b/>
          <w:bCs/>
          <w:color w:val="000000"/>
          <w:kern w:val="0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本标准是学校预算标准体系和资产配置标准体系的重要组成部分，是编制和审核资产配置预算、实施政府采购和资产调剂、处置等工作的基本依据。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3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方正楷体_GBK" w:eastAsia="方正楷体_GBK" w:hAnsi="楷体" w:cs="宋体" w:hint="eastAsia"/>
          <w:bCs/>
          <w:color w:val="000000"/>
          <w:kern w:val="0"/>
          <w:szCs w:val="32"/>
        </w:rPr>
        <w:t xml:space="preserve">第四条 </w:t>
      </w:r>
      <w:r>
        <w:rPr>
          <w:rFonts w:ascii="方正楷体_GBK" w:eastAsia="方正楷体_GBK" w:hAnsi="楷体" w:cs="宋体"/>
          <w:bCs/>
          <w:color w:val="000000"/>
          <w:kern w:val="0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本标准主要包括配置数量上限、价格上限、最低使用年限等内容。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1.配置数量上限是指单位购置通用办公设备、家具的最高数量标准。具体数量由学校结合机构设置、办公场所安排和编制内实有人数等情况，在上限内合理配置。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2.价格上限是指学校购置通用办公设备、家具的最高价格标准。具体价格按照节约原则在上限内合理配置。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lastRenderedPageBreak/>
        <w:t>3.最低使用年限是通用办公设备、家具使用的最低使用年限标准。未达到最低使用年限的，除</w:t>
      </w:r>
      <w:proofErr w:type="gramStart"/>
      <w:r>
        <w:rPr>
          <w:rFonts w:ascii="仿宋" w:eastAsia="仿宋" w:hAnsi="仿宋" w:cs="宋体" w:hint="eastAsia"/>
          <w:color w:val="000000"/>
          <w:kern w:val="0"/>
          <w:szCs w:val="32"/>
        </w:rPr>
        <w:t>损毁且</w:t>
      </w:r>
      <w:proofErr w:type="gramEnd"/>
      <w:r>
        <w:rPr>
          <w:rFonts w:ascii="仿宋" w:eastAsia="仿宋" w:hAnsi="仿宋" w:cs="宋体" w:hint="eastAsia"/>
          <w:color w:val="000000"/>
          <w:kern w:val="0"/>
          <w:szCs w:val="32"/>
        </w:rPr>
        <w:t>无法修复外，原则上不得更新。已达到规定使用年限仍可以使用的，应继续使用。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3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方正楷体_GBK" w:eastAsia="方正楷体_GBK" w:hAnsi="楷体" w:cs="宋体" w:hint="eastAsia"/>
          <w:bCs/>
          <w:color w:val="000000"/>
          <w:kern w:val="0"/>
          <w:szCs w:val="32"/>
        </w:rPr>
        <w:t xml:space="preserve">第五条 </w:t>
      </w:r>
      <w:r>
        <w:rPr>
          <w:rFonts w:ascii="宋体" w:eastAsia="宋体" w:hAnsi="宋体" w:cs="宋体"/>
          <w:color w:val="000000"/>
          <w:kern w:val="0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学校配置办公设备应当按照《中华人民共和国政府采购法》规定，配置具有较强安全性、稳定性、兼容性，且能耗低、维修便利的设备，不得配置高端设备。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仿宋" w:eastAsia="仿宋" w:hAnsi="仿宋" w:cs="宋体" w:hint="eastAsia"/>
          <w:color w:val="000000"/>
          <w:kern w:val="0"/>
          <w:szCs w:val="32"/>
        </w:rPr>
        <w:t>学校配置办公家具应当充分考虑办公布局，符合简朴实用要求，不得配置豪华家具，不得使用名贵木材。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3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方正楷体_GBK" w:eastAsia="方正楷体_GBK" w:hAnsi="楷体" w:cs="宋体" w:hint="eastAsia"/>
          <w:bCs/>
          <w:color w:val="000000"/>
          <w:kern w:val="0"/>
          <w:szCs w:val="32"/>
        </w:rPr>
        <w:t xml:space="preserve">第六条 </w:t>
      </w:r>
      <w:r>
        <w:rPr>
          <w:rFonts w:ascii="宋体" w:eastAsia="宋体" w:hAnsi="宋体" w:cs="宋体"/>
          <w:b/>
          <w:bCs/>
          <w:color w:val="000000"/>
          <w:kern w:val="0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本标准实行动态调整，根据经济社会发展、物价水平和有关政策调整等因素，适时予以调整。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3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方正楷体_GBK" w:eastAsia="方正楷体_GBK" w:hAnsi="楷体" w:cs="宋体" w:hint="eastAsia"/>
          <w:bCs/>
          <w:color w:val="000000"/>
          <w:kern w:val="0"/>
          <w:szCs w:val="32"/>
        </w:rPr>
        <w:t xml:space="preserve">第七条 </w:t>
      </w:r>
      <w:r>
        <w:rPr>
          <w:rFonts w:ascii="方正楷体_GBK" w:eastAsia="方正楷体_GBK" w:hAnsi="楷体" w:cs="宋体"/>
          <w:bCs/>
          <w:color w:val="000000"/>
          <w:kern w:val="0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学校结合内设机构职能、工作需要和预算安排情况，在不超出本标准规定限额内，统筹合理安排各单位</w:t>
      </w:r>
      <w:r>
        <w:rPr>
          <w:rFonts w:ascii="仿宋" w:eastAsia="仿宋" w:hAnsi="仿宋" w:cs="宋体"/>
          <w:color w:val="000000"/>
          <w:kern w:val="0"/>
          <w:szCs w:val="32"/>
        </w:rPr>
        <w:t>、各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部门通用办公设备、家具的配置。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3"/>
        <w:rPr>
          <w:rFonts w:ascii="宋体" w:eastAsia="宋体" w:hAnsi="宋体" w:cs="宋体"/>
          <w:color w:val="000000"/>
          <w:kern w:val="0"/>
          <w:szCs w:val="32"/>
        </w:rPr>
      </w:pPr>
      <w:r>
        <w:rPr>
          <w:rFonts w:ascii="方正楷体_GBK" w:eastAsia="方正楷体_GBK" w:hAnsi="楷体" w:cs="宋体" w:hint="eastAsia"/>
          <w:bCs/>
          <w:color w:val="000000"/>
          <w:kern w:val="0"/>
          <w:szCs w:val="32"/>
        </w:rPr>
        <w:t>第八条</w:t>
      </w:r>
      <w:r>
        <w:rPr>
          <w:rFonts w:ascii="方正楷体_GBK" w:eastAsia="方正楷体_GBK" w:hAnsi="楷体" w:cs="宋体"/>
          <w:bCs/>
          <w:color w:val="000000"/>
          <w:kern w:val="0"/>
          <w:szCs w:val="32"/>
        </w:rPr>
        <w:t xml:space="preserve"> </w:t>
      </w:r>
      <w:r>
        <w:rPr>
          <w:rFonts w:ascii="方正楷体_GBK" w:eastAsia="方正楷体_GBK" w:hAnsi="楷体" w:cs="宋体" w:hint="eastAsia"/>
          <w:bCs/>
          <w:color w:val="000000"/>
          <w:kern w:val="0"/>
          <w:szCs w:val="32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本标准由资产与实验室管理处负责解释。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3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方正楷体_GBK" w:eastAsia="方正楷体_GBK" w:hAnsi="楷体" w:cs="宋体" w:hint="eastAsia"/>
          <w:bCs/>
          <w:color w:val="000000"/>
          <w:kern w:val="0"/>
          <w:szCs w:val="32"/>
        </w:rPr>
        <w:t xml:space="preserve">第九条  </w:t>
      </w:r>
      <w:r>
        <w:rPr>
          <w:rFonts w:ascii="仿宋" w:eastAsia="仿宋" w:hAnsi="仿宋" w:cs="宋体" w:hint="eastAsia"/>
          <w:color w:val="000000"/>
          <w:kern w:val="0"/>
          <w:szCs w:val="32"/>
        </w:rPr>
        <w:t>本标准自印发之日起施行。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0"/>
        <w:rPr>
          <w:rFonts w:ascii="仿宋" w:eastAsia="仿宋" w:hAnsi="仿宋" w:cs="宋体"/>
          <w:color w:val="000000"/>
          <w:kern w:val="0"/>
          <w:szCs w:val="32"/>
        </w:rPr>
      </w:pPr>
    </w:p>
    <w:p w:rsidR="00CF42A1" w:rsidRDefault="00CF42A1" w:rsidP="00CF42A1">
      <w:pPr>
        <w:widowControl/>
        <w:shd w:val="clear" w:color="auto" w:fill="FFFFFF"/>
        <w:spacing w:line="578" w:lineRule="exact"/>
        <w:ind w:firstLine="640"/>
        <w:rPr>
          <w:rFonts w:ascii="仿宋_GB2312" w:hAnsi="微软雅黑" w:cs="宋体" w:hint="eastAsia"/>
          <w:color w:val="000000"/>
          <w:kern w:val="0"/>
          <w:sz w:val="15"/>
          <w:szCs w:val="15"/>
        </w:rPr>
      </w:pPr>
      <w:r>
        <w:rPr>
          <w:rFonts w:ascii="仿宋_GB2312" w:hAnsi="仿宋" w:cs="宋体" w:hint="eastAsia"/>
          <w:color w:val="000000"/>
          <w:kern w:val="0"/>
          <w:szCs w:val="32"/>
        </w:rPr>
        <w:t>附件：潍坊学院通用资产配置标准表</w:t>
      </w:r>
    </w:p>
    <w:p w:rsidR="00CF42A1" w:rsidRDefault="00CF42A1" w:rsidP="00CF42A1">
      <w:pPr>
        <w:widowControl/>
        <w:shd w:val="clear" w:color="auto" w:fill="FFFFFF"/>
        <w:spacing w:line="578" w:lineRule="exact"/>
        <w:ind w:firstLine="640"/>
        <w:rPr>
          <w:rFonts w:ascii="微软雅黑" w:eastAsia="微软雅黑" w:hAnsi="微软雅黑" w:cs="宋体"/>
          <w:color w:val="000000"/>
          <w:kern w:val="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kern w:val="0"/>
          <w:szCs w:val="32"/>
        </w:rPr>
        <w:t> 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32"/>
        </w:rPr>
        <w:t> </w:t>
      </w:r>
      <w:r>
        <w:rPr>
          <w:rFonts w:ascii="仿宋" w:eastAsia="仿宋" w:hAnsi="仿宋" w:cs="仿宋" w:hint="eastAsia"/>
          <w:color w:val="000000"/>
          <w:kern w:val="0"/>
          <w:szCs w:val="32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32"/>
        </w:rPr>
        <w:t> </w:t>
      </w:r>
    </w:p>
    <w:p w:rsidR="00CF42A1" w:rsidRDefault="00CF42A1" w:rsidP="00CF42A1">
      <w:pPr>
        <w:widowControl/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CF42A1" w:rsidRDefault="00CF42A1" w:rsidP="00CF42A1">
      <w:pPr>
        <w:widowControl/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CF42A1" w:rsidRDefault="00CF42A1" w:rsidP="00CF42A1">
      <w:pPr>
        <w:widowControl/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CF42A1" w:rsidRDefault="00CF42A1" w:rsidP="00CF42A1">
      <w:pPr>
        <w:widowControl/>
        <w:jc w:val="left"/>
        <w:rPr>
          <w:rFonts w:ascii="黑体" w:eastAsia="黑体" w:hAnsi="黑体" w:cs="宋体"/>
          <w:color w:val="000000"/>
          <w:kern w:val="0"/>
          <w:szCs w:val="32"/>
        </w:rPr>
      </w:pPr>
    </w:p>
    <w:p w:rsidR="003B6327" w:rsidRDefault="003B6327" w:rsidP="00CF42A1">
      <w:pPr>
        <w:widowControl/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CF42A1" w:rsidRDefault="00CF42A1" w:rsidP="00CF42A1">
      <w:pPr>
        <w:widowControl/>
        <w:jc w:val="left"/>
        <w:rPr>
          <w:rFonts w:ascii="黑体" w:eastAsia="黑体" w:hAnsi="黑体" w:cs="宋体" w:hint="eastAsia"/>
          <w:color w:val="000000"/>
          <w:kern w:val="0"/>
          <w:szCs w:val="32"/>
        </w:rPr>
      </w:pPr>
    </w:p>
    <w:p w:rsidR="00CF42A1" w:rsidRDefault="00CF42A1" w:rsidP="00CF42A1">
      <w:pPr>
        <w:widowControl/>
        <w:shd w:val="clear" w:color="auto" w:fill="FFFFFF"/>
        <w:spacing w:line="323" w:lineRule="atLeast"/>
        <w:jc w:val="left"/>
        <w:textAlignment w:val="bottom"/>
        <w:rPr>
          <w:rFonts w:ascii="微软雅黑" w:eastAsia="微软雅黑" w:hAnsi="微软雅黑" w:cs="宋体"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lastRenderedPageBreak/>
        <w:t>附件</w:t>
      </w:r>
    </w:p>
    <w:p w:rsidR="00CF42A1" w:rsidRDefault="00CF42A1" w:rsidP="00CF42A1">
      <w:pPr>
        <w:widowControl/>
        <w:shd w:val="clear" w:color="auto" w:fill="FFFFFF"/>
        <w:spacing w:line="0" w:lineRule="atLeast"/>
        <w:ind w:firstLine="482"/>
        <w:jc w:val="center"/>
        <w:textAlignment w:val="bottom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潍坊学院通用资产配置标准表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640"/>
        <w:gridCol w:w="273"/>
        <w:gridCol w:w="10"/>
        <w:gridCol w:w="284"/>
        <w:gridCol w:w="446"/>
        <w:gridCol w:w="1932"/>
        <w:gridCol w:w="2520"/>
        <w:gridCol w:w="990"/>
        <w:gridCol w:w="951"/>
        <w:gridCol w:w="1006"/>
      </w:tblGrid>
      <w:tr w:rsidR="00CF42A1" w:rsidTr="008D50DB">
        <w:trPr>
          <w:trHeight w:val="585"/>
          <w:jc w:val="center"/>
        </w:trPr>
        <w:tc>
          <w:tcPr>
            <w:tcW w:w="2016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资产品目</w:t>
            </w:r>
          </w:p>
        </w:tc>
        <w:tc>
          <w:tcPr>
            <w:tcW w:w="544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数量上限（台、套、件、组）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价格上限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（元）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最低使用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年限（年）</w:t>
            </w:r>
          </w:p>
        </w:tc>
      </w:tr>
      <w:tr w:rsidR="00CF42A1" w:rsidTr="008D50DB">
        <w:trPr>
          <w:trHeight w:val="1068"/>
          <w:jc w:val="center"/>
        </w:trPr>
        <w:tc>
          <w:tcPr>
            <w:tcW w:w="363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办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公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设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备</w:t>
            </w: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台式计算机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（含预装正版操作系统软件）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1台/人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pacing w:val="-4"/>
                <w:kern w:val="0"/>
                <w:sz w:val="21"/>
                <w:szCs w:val="21"/>
              </w:rPr>
              <w:t>非涉密单位配置数量上限按单位编制内实有人数的100%计算，涉密单位配置数量上限按单位编制内实有人数的150%计算。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5000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1085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便携式计算机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（含预装正版操作系统软件）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编制内实有人数的50%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配置数量上限按单位编制内实有人数的50%计算，外勤单位可以适当增加便携式计算机数量，同时相应减少台式计算机数量。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7000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6</w:t>
            </w:r>
          </w:p>
        </w:tc>
      </w:tr>
      <w:tr w:rsidR="00CF42A1" w:rsidTr="008D50DB">
        <w:trPr>
          <w:trHeight w:val="529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打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印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机</w:t>
            </w:r>
          </w:p>
        </w:tc>
        <w:tc>
          <w:tcPr>
            <w:tcW w:w="567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A4</w:t>
            </w:r>
          </w:p>
        </w:tc>
        <w:tc>
          <w:tcPr>
            <w:tcW w:w="4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黑白</w:t>
            </w:r>
          </w:p>
        </w:tc>
        <w:tc>
          <w:tcPr>
            <w:tcW w:w="1932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根据办公场所分布</w:t>
            </w:r>
          </w:p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合理配置</w:t>
            </w:r>
          </w:p>
        </w:tc>
        <w:tc>
          <w:tcPr>
            <w:tcW w:w="3510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打印机配置数量上限按单位编制内实有人数的60%计算。原则上不配备彩色打印机，确有需要的，经学校批准后根据工作需要合理配置。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425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彩色</w:t>
            </w:r>
          </w:p>
        </w:tc>
        <w:tc>
          <w:tcPr>
            <w:tcW w:w="1932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2500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459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A3</w:t>
            </w:r>
          </w:p>
        </w:tc>
        <w:tc>
          <w:tcPr>
            <w:tcW w:w="4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黑白</w:t>
            </w:r>
          </w:p>
        </w:tc>
        <w:tc>
          <w:tcPr>
            <w:tcW w:w="1932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打印机配置数量上限按单位编制内实有人数的15%计算。原则上不配备彩色打印机，确有需要的，经学校批准后根据工作需要合理配置。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7500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553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4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彩色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不得超过单位编制内实有人数3%。</w:t>
            </w:r>
          </w:p>
        </w:tc>
        <w:tc>
          <w:tcPr>
            <w:tcW w:w="3510" w:type="dxa"/>
            <w:gridSpan w:val="2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430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复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印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机</w:t>
            </w:r>
          </w:p>
        </w:tc>
        <w:tc>
          <w:tcPr>
            <w:tcW w:w="101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普通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根据办公场所分布和实际需要合理配置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配置数量上限按单位编制内实有人数的10%计算。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使用6年或复印30万张</w:t>
            </w:r>
          </w:p>
        </w:tc>
      </w:tr>
      <w:tr w:rsidR="00CF42A1" w:rsidTr="008D50DB">
        <w:trPr>
          <w:trHeight w:val="1393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一体机/传真机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1台/单位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编制内实有人数20人以下单位可以配置1台；20-50人单位可配2台；50人以上单位每增加50人可以增配一台。配置一体机的，传真机、扫描仪不再另行单独配置。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2500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654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扫描仪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根据办公场所分布和实际需要合理配置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配置数量上限按单位编制内实有人数的10%计算。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3000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509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投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影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仪</w:t>
            </w:r>
          </w:p>
        </w:tc>
        <w:tc>
          <w:tcPr>
            <w:tcW w:w="101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固定式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根据会议室使用面积合理配置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会议室面积在50（含）平方米以上的可以配置1台。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26000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528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便携式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根据工作需要合理配置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配置数量上限按单位编制内实有人数的5%计算。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10000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542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数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码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相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机</w:t>
            </w:r>
          </w:p>
        </w:tc>
        <w:tc>
          <w:tcPr>
            <w:tcW w:w="101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普通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1台/单位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主要承担宣传任务的单位经批准可以按需增加配备。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3500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6</w:t>
            </w:r>
          </w:p>
        </w:tc>
      </w:tr>
      <w:tr w:rsidR="00CF42A1" w:rsidTr="008D50DB">
        <w:trPr>
          <w:trHeight w:val="546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013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高档（含镜头和配件）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根据工作需要</w:t>
            </w:r>
          </w:p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合理配置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确有需要的，经学校批准后根据工作需要合理配置。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542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数码摄像机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根据工作需要</w:t>
            </w:r>
          </w:p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合理配置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主要承担宣传任务的单位经批准可以按需增加配备。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6000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8</w:t>
            </w:r>
          </w:p>
        </w:tc>
      </w:tr>
      <w:tr w:rsidR="00CF42A1" w:rsidTr="008D50DB">
        <w:trPr>
          <w:trHeight w:val="542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碎纸机</w:t>
            </w:r>
          </w:p>
        </w:tc>
        <w:tc>
          <w:tcPr>
            <w:tcW w:w="19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根据工作需要</w:t>
            </w:r>
          </w:p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合理配置</w:t>
            </w:r>
          </w:p>
        </w:tc>
        <w:tc>
          <w:tcPr>
            <w:tcW w:w="351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配置数量上限按单位编制内实有人数的10%计算。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1200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6</w:t>
            </w:r>
          </w:p>
        </w:tc>
      </w:tr>
      <w:tr w:rsidR="00CF42A1" w:rsidTr="008D50DB">
        <w:trPr>
          <w:trHeight w:val="542"/>
          <w:jc w:val="center"/>
        </w:trPr>
        <w:tc>
          <w:tcPr>
            <w:tcW w:w="363" w:type="dxa"/>
            <w:vMerge/>
            <w:shd w:val="clear" w:color="auto" w:fill="FFFFFF"/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电视机</w:t>
            </w:r>
          </w:p>
        </w:tc>
        <w:tc>
          <w:tcPr>
            <w:tcW w:w="5442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ind w:left="105" w:right="105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根据工作需要经批准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后合理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配置。</w:t>
            </w:r>
          </w:p>
        </w:tc>
        <w:tc>
          <w:tcPr>
            <w:tcW w:w="9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5000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8D50DB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6</w:t>
            </w:r>
          </w:p>
        </w:tc>
      </w:tr>
      <w:tr w:rsidR="00CF42A1" w:rsidTr="008D50DB">
        <w:trPr>
          <w:trHeight w:val="585"/>
          <w:jc w:val="center"/>
        </w:trPr>
        <w:tc>
          <w:tcPr>
            <w:tcW w:w="2016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lastRenderedPageBreak/>
              <w:t>资产品目</w:t>
            </w:r>
          </w:p>
        </w:tc>
        <w:tc>
          <w:tcPr>
            <w:tcW w:w="44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数量上限（台、套、件、组）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价格上限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（元）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最低使用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年限（年）</w:t>
            </w:r>
          </w:p>
        </w:tc>
      </w:tr>
      <w:tr w:rsidR="00CF42A1" w:rsidTr="008D50DB">
        <w:trPr>
          <w:trHeight w:val="362"/>
          <w:jc w:val="center"/>
        </w:trPr>
        <w:tc>
          <w:tcPr>
            <w:tcW w:w="363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办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公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家</w:t>
            </w: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br/>
              <w:t>具</w:t>
            </w:r>
          </w:p>
        </w:tc>
        <w:tc>
          <w:tcPr>
            <w:tcW w:w="1653" w:type="dxa"/>
            <w:gridSpan w:val="5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办公桌</w:t>
            </w:r>
          </w:p>
        </w:tc>
        <w:tc>
          <w:tcPr>
            <w:tcW w:w="4452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30" w:right="122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1套/人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厅级：4500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</w:t>
            </w:r>
          </w:p>
        </w:tc>
      </w:tr>
      <w:tr w:rsidR="00CF42A1" w:rsidTr="008D50DB">
        <w:trPr>
          <w:trHeight w:val="28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452" w:type="dxa"/>
            <w:gridSpan w:val="2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处级：3000</w:t>
            </w: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CF42A1" w:rsidRDefault="00CF42A1" w:rsidP="003B6327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</w:tr>
      <w:tr w:rsidR="00CF42A1" w:rsidTr="008D50DB">
        <w:trPr>
          <w:trHeight w:val="6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452" w:type="dxa"/>
            <w:gridSpan w:val="2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科级及以下：2000</w:t>
            </w: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CF42A1" w:rsidRDefault="00CF42A1" w:rsidP="003B6327">
            <w:pPr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</w:tr>
      <w:tr w:rsidR="00CF42A1" w:rsidTr="008D50DB">
        <w:trPr>
          <w:trHeight w:val="33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办公椅</w:t>
            </w:r>
          </w:p>
        </w:tc>
        <w:tc>
          <w:tcPr>
            <w:tcW w:w="4452" w:type="dxa"/>
            <w:gridSpan w:val="2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厅级：1500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</w:t>
            </w:r>
          </w:p>
        </w:tc>
      </w:tr>
      <w:tr w:rsidR="00CF42A1" w:rsidTr="008D50DB">
        <w:trPr>
          <w:trHeight w:val="36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4452" w:type="dxa"/>
            <w:gridSpan w:val="2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处级及以下：800</w:t>
            </w: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</w:tr>
      <w:tr w:rsidR="00CF42A1" w:rsidTr="008D50DB">
        <w:trPr>
          <w:trHeight w:val="36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23" w:type="dxa"/>
            <w:gridSpan w:val="3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沙发</w:t>
            </w:r>
          </w:p>
        </w:tc>
        <w:tc>
          <w:tcPr>
            <w:tcW w:w="73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三人</w:t>
            </w:r>
          </w:p>
        </w:tc>
        <w:tc>
          <w:tcPr>
            <w:tcW w:w="4452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30" w:right="122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视办公室使用面积，厅级办公室可以配置1个双人以上沙发和2个单人沙发；处级及以下办公室可以配置1个双人以上沙发或2个单人沙发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3000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</w:t>
            </w:r>
          </w:p>
        </w:tc>
      </w:tr>
      <w:tr w:rsidR="00CF42A1" w:rsidTr="008D50DB">
        <w:trPr>
          <w:trHeight w:val="305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双人</w:t>
            </w:r>
          </w:p>
        </w:tc>
        <w:tc>
          <w:tcPr>
            <w:tcW w:w="4452" w:type="dxa"/>
            <w:gridSpan w:val="2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</w:t>
            </w:r>
          </w:p>
        </w:tc>
      </w:tr>
      <w:tr w:rsidR="00CF42A1" w:rsidTr="008D50DB">
        <w:trPr>
          <w:trHeight w:val="389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单人</w:t>
            </w:r>
          </w:p>
        </w:tc>
        <w:tc>
          <w:tcPr>
            <w:tcW w:w="4452" w:type="dxa"/>
            <w:gridSpan w:val="2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</w:t>
            </w:r>
          </w:p>
        </w:tc>
      </w:tr>
      <w:tr w:rsidR="00CF42A1" w:rsidTr="008D50DB">
        <w:trPr>
          <w:trHeight w:val="7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茶几/茶水柜</w:t>
            </w:r>
          </w:p>
        </w:tc>
        <w:tc>
          <w:tcPr>
            <w:tcW w:w="44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30" w:right="122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视办公室使用面积，每个办公室可以选择配置1个茶几或1个茶水柜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</w:t>
            </w:r>
          </w:p>
        </w:tc>
      </w:tr>
      <w:tr w:rsidR="00CF42A1" w:rsidTr="008D50DB">
        <w:trPr>
          <w:trHeight w:val="39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gridSpan w:val="2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文件柜</w:t>
            </w:r>
          </w:p>
        </w:tc>
        <w:tc>
          <w:tcPr>
            <w:tcW w:w="74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厅级</w:t>
            </w:r>
          </w:p>
        </w:tc>
        <w:tc>
          <w:tcPr>
            <w:tcW w:w="44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30" w:right="122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2组/人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2000</w:t>
            </w:r>
          </w:p>
        </w:tc>
        <w:tc>
          <w:tcPr>
            <w:tcW w:w="100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20</w:t>
            </w:r>
          </w:p>
        </w:tc>
      </w:tr>
      <w:tr w:rsidR="00CF42A1" w:rsidTr="008D50DB">
        <w:trPr>
          <w:trHeight w:val="39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处级</w:t>
            </w:r>
          </w:p>
          <w:p w:rsidR="00CF42A1" w:rsidRDefault="00CF42A1" w:rsidP="003B632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及以下</w:t>
            </w:r>
          </w:p>
        </w:tc>
        <w:tc>
          <w:tcPr>
            <w:tcW w:w="44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30" w:right="122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1组/人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1000</w:t>
            </w: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</w:tr>
      <w:tr w:rsidR="00CF42A1" w:rsidTr="008D50DB">
        <w:trPr>
          <w:trHeight w:val="390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保密柜</w:t>
            </w:r>
          </w:p>
        </w:tc>
        <w:tc>
          <w:tcPr>
            <w:tcW w:w="44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30" w:right="122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根据保密规定和工作需要合理配置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3000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20</w:t>
            </w:r>
          </w:p>
        </w:tc>
      </w:tr>
      <w:tr w:rsidR="00CF42A1" w:rsidTr="008D50DB">
        <w:trPr>
          <w:trHeight w:val="1951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会议桌</w:t>
            </w:r>
          </w:p>
        </w:tc>
        <w:tc>
          <w:tcPr>
            <w:tcW w:w="44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30" w:right="122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根据会议室使用面积合理配置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24" w:right="78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会议室使用面积在50（含）平方米以下：1400元/平方米；50-100（含）平方米：1000元/平方米；100平方米以上：800元/平方米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20</w:t>
            </w:r>
          </w:p>
        </w:tc>
      </w:tr>
      <w:tr w:rsidR="00CF42A1" w:rsidTr="008D50DB">
        <w:trPr>
          <w:trHeight w:val="1018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1653" w:type="dxa"/>
            <w:gridSpan w:val="5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会议椅</w:t>
            </w:r>
          </w:p>
        </w:tc>
        <w:tc>
          <w:tcPr>
            <w:tcW w:w="44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ind w:left="130" w:right="122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根据会议室使用面积和会议桌大小合理配置</w:t>
            </w:r>
          </w:p>
        </w:tc>
        <w:tc>
          <w:tcPr>
            <w:tcW w:w="194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400</w:t>
            </w:r>
          </w:p>
        </w:tc>
        <w:tc>
          <w:tcPr>
            <w:tcW w:w="100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15</w:t>
            </w:r>
          </w:p>
        </w:tc>
      </w:tr>
      <w:tr w:rsidR="00CF42A1" w:rsidTr="008D50DB">
        <w:trPr>
          <w:trHeight w:val="420"/>
          <w:jc w:val="center"/>
        </w:trPr>
        <w:tc>
          <w:tcPr>
            <w:tcW w:w="9415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备注：1.配置具有组合功能的办公家具，价格不得高于各单项资产的价格之和；  </w:t>
            </w:r>
          </w:p>
        </w:tc>
      </w:tr>
      <w:tr w:rsidR="00CF42A1" w:rsidTr="008D50DB">
        <w:trPr>
          <w:trHeight w:val="286"/>
          <w:jc w:val="center"/>
        </w:trPr>
        <w:tc>
          <w:tcPr>
            <w:tcW w:w="94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CF42A1" w:rsidRDefault="00CF42A1" w:rsidP="003B6327">
            <w:pPr>
              <w:widowControl/>
              <w:adjustRightInd w:val="0"/>
              <w:snapToGrid w:val="0"/>
              <w:jc w:val="left"/>
              <w:textAlignment w:val="bottom"/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</w:rPr>
              <w:t>    2.价格上限中的价格指单件家具的价格。</w:t>
            </w:r>
          </w:p>
        </w:tc>
      </w:tr>
    </w:tbl>
    <w:p w:rsidR="00C947B5" w:rsidRPr="00CF42A1" w:rsidRDefault="00C947B5" w:rsidP="008960AC">
      <w:pPr>
        <w:adjustRightInd w:val="0"/>
        <w:snapToGrid w:val="0"/>
        <w:spacing w:line="14" w:lineRule="exact"/>
        <w:outlineLvl w:val="0"/>
        <w:rPr>
          <w:rFonts w:ascii="仿宋" w:eastAsia="仿宋" w:hAnsi="仿宋" w:cs="仿宋_GB2312" w:hint="eastAsia"/>
          <w:bCs/>
          <w:sz w:val="10"/>
          <w:szCs w:val="10"/>
        </w:rPr>
      </w:pPr>
      <w:bookmarkStart w:id="0" w:name="_GoBack"/>
      <w:bookmarkEnd w:id="0"/>
    </w:p>
    <w:sectPr w:rsidR="00C947B5" w:rsidRPr="00CF42A1" w:rsidSect="000D0062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07C" w:rsidRDefault="0067407C" w:rsidP="00903951">
      <w:r>
        <w:separator/>
      </w:r>
    </w:p>
  </w:endnote>
  <w:endnote w:type="continuationSeparator" w:id="0">
    <w:p w:rsidR="0067407C" w:rsidRDefault="0067407C" w:rsidP="0090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27" w:rsidRDefault="0067407C">
    <w:pPr>
      <w:pStyle w:val="a5"/>
      <w:ind w:rightChars="100" w:right="320" w:firstLineChars="100" w:firstLine="280"/>
    </w:pPr>
    <w:r>
      <w:rPr>
        <w:rStyle w:val="a9"/>
        <w:rFonts w:ascii="宋体" w:eastAsia="宋体" w:hAnsi="宋体" w:hint="eastAsia"/>
        <w:sz w:val="28"/>
        <w:szCs w:val="28"/>
      </w:rPr>
      <w:t>—</w:t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9"/>
        <w:rFonts w:ascii="宋体" w:eastAsia="宋体" w:hAnsi="宋体"/>
        <w:noProof/>
        <w:sz w:val="28"/>
        <w:szCs w:val="28"/>
      </w:rPr>
      <w:t>12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Style w:val="a9"/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27" w:rsidRDefault="0067407C">
    <w:pPr>
      <w:pStyle w:val="a5"/>
      <w:jc w:val="center"/>
    </w:pPr>
    <w:r>
      <w:rPr>
        <w:rStyle w:val="a9"/>
        <w:rFonts w:ascii="宋体" w:eastAsia="宋体" w:hAnsi="宋体" w:hint="eastAsia"/>
        <w:sz w:val="28"/>
        <w:szCs w:val="28"/>
      </w:rPr>
      <w:t xml:space="preserve">                                                   </w:t>
    </w:r>
    <w:r>
      <w:rPr>
        <w:rStyle w:val="a9"/>
        <w:rFonts w:ascii="宋体" w:eastAsia="宋体" w:hAnsi="宋体" w:hint="eastAsia"/>
        <w:sz w:val="28"/>
        <w:szCs w:val="28"/>
      </w:rPr>
      <w:t>—</w:t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 w:rsidR="003B6327">
      <w:rPr>
        <w:rStyle w:val="a9"/>
        <w:rFonts w:ascii="宋体" w:eastAsia="宋体" w:hAnsi="宋体"/>
        <w:noProof/>
        <w:sz w:val="28"/>
        <w:szCs w:val="28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</w:t>
    </w:r>
    <w:r>
      <w:rPr>
        <w:rStyle w:val="a9"/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07C" w:rsidRDefault="0067407C" w:rsidP="00903951">
      <w:r>
        <w:separator/>
      </w:r>
    </w:p>
  </w:footnote>
  <w:footnote w:type="continuationSeparator" w:id="0">
    <w:p w:rsidR="0067407C" w:rsidRDefault="0067407C" w:rsidP="0090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6C"/>
    <w:rsid w:val="000D0062"/>
    <w:rsid w:val="003A5AD6"/>
    <w:rsid w:val="003B6327"/>
    <w:rsid w:val="006068DF"/>
    <w:rsid w:val="0067407C"/>
    <w:rsid w:val="00854C45"/>
    <w:rsid w:val="008960AC"/>
    <w:rsid w:val="0089669E"/>
    <w:rsid w:val="00903951"/>
    <w:rsid w:val="00C947B5"/>
    <w:rsid w:val="00CF42A1"/>
    <w:rsid w:val="00E12FBE"/>
    <w:rsid w:val="00F5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CC84"/>
  <w15:chartTrackingRefBased/>
  <w15:docId w15:val="{D84221C5-1E04-4D27-BC19-28B6C2FC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66C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903951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5AD6"/>
    <w:pPr>
      <w:spacing w:after="120"/>
      <w:ind w:leftChars="200" w:left="420"/>
    </w:pPr>
    <w:rPr>
      <w:rFonts w:ascii="Times New Roman" w:hAnsi="Times New Roman"/>
    </w:rPr>
  </w:style>
  <w:style w:type="character" w:customStyle="1" w:styleId="a4">
    <w:name w:val="正文文本缩进 字符"/>
    <w:basedOn w:val="a0"/>
    <w:link w:val="a3"/>
    <w:rsid w:val="003A5AD6"/>
    <w:rPr>
      <w:rFonts w:ascii="Times New Roman" w:eastAsia="仿宋_GB2312" w:hAnsi="Times New Roman" w:cs="Times New Roman"/>
      <w:sz w:val="32"/>
      <w:szCs w:val="24"/>
    </w:rPr>
  </w:style>
  <w:style w:type="character" w:customStyle="1" w:styleId="60">
    <w:name w:val="标题 6 字符"/>
    <w:basedOn w:val="a0"/>
    <w:link w:val="6"/>
    <w:rsid w:val="00903951"/>
    <w:rPr>
      <w:rFonts w:ascii="Arial" w:eastAsia="黑体" w:hAnsi="Arial" w:cs="Times New Roman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0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03951"/>
    <w:rPr>
      <w:rFonts w:ascii="Calibri" w:eastAsia="仿宋_GB2312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03951"/>
    <w:rPr>
      <w:rFonts w:ascii="Calibri" w:eastAsia="仿宋_GB2312" w:hAnsi="Calibri" w:cs="Times New Roman"/>
      <w:sz w:val="18"/>
      <w:szCs w:val="18"/>
    </w:rPr>
  </w:style>
  <w:style w:type="character" w:styleId="a9">
    <w:name w:val="page number"/>
    <w:uiPriority w:val="99"/>
    <w:unhideWhenUsed/>
    <w:rsid w:val="00903951"/>
  </w:style>
  <w:style w:type="paragraph" w:styleId="aa">
    <w:name w:val="Normal (Web)"/>
    <w:basedOn w:val="a"/>
    <w:uiPriority w:val="99"/>
    <w:qFormat/>
    <w:rsid w:val="00C947B5"/>
    <w:pPr>
      <w:spacing w:before="100" w:beforeAutospacing="1" w:after="100" w:afterAutospacing="1"/>
      <w:jc w:val="left"/>
    </w:pPr>
    <w:rPr>
      <w:rFonts w:eastAsia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A9F2AB-79C3-4B48-8317-D9BBA0BD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李洪昌</dc:creator>
  <cp:keywords/>
  <dc:description/>
  <cp:lastModifiedBy>李洪昌</cp:lastModifiedBy>
  <cp:revision>3</cp:revision>
  <dcterms:created xsi:type="dcterms:W3CDTF">2022-11-28T01:00:00Z</dcterms:created>
  <dcterms:modified xsi:type="dcterms:W3CDTF">2022-11-28T01:02:00Z</dcterms:modified>
</cp:coreProperties>
</file>