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6C" w:rsidRDefault="00F5066C" w:rsidP="00F5066C">
      <w:pPr>
        <w:autoSpaceDE w:val="0"/>
        <w:autoSpaceDN w:val="0"/>
        <w:adjustRightInd w:val="0"/>
        <w:spacing w:line="558" w:lineRule="exact"/>
        <w:jc w:val="left"/>
        <w:rPr>
          <w:rFonts w:ascii="仿宋" w:eastAsia="仿宋" w:hAnsi="仿宋"/>
          <w:sz w:val="21"/>
          <w:szCs w:val="21"/>
        </w:rPr>
      </w:pPr>
      <w:r w:rsidRPr="00987300">
        <w:rPr>
          <w:rFonts w:ascii="仿宋" w:eastAsia="仿宋" w:hAnsi="仿宋" w:hint="eastAsia"/>
          <w:sz w:val="21"/>
          <w:szCs w:val="21"/>
        </w:rPr>
        <w:t>（</w:t>
      </w:r>
      <w:proofErr w:type="gramStart"/>
      <w:r w:rsidRPr="00987300">
        <w:rPr>
          <w:rFonts w:ascii="仿宋" w:eastAsia="仿宋" w:hAnsi="仿宋" w:hint="eastAsia"/>
          <w:sz w:val="21"/>
          <w:szCs w:val="21"/>
        </w:rPr>
        <w:t>潍</w:t>
      </w:r>
      <w:proofErr w:type="gramEnd"/>
      <w:r w:rsidRPr="00987300">
        <w:rPr>
          <w:rFonts w:ascii="仿宋" w:eastAsia="仿宋" w:hAnsi="仿宋" w:hint="eastAsia"/>
          <w:sz w:val="21"/>
          <w:szCs w:val="21"/>
        </w:rPr>
        <w:t>院政字〔2022〕56号，潍坊学院党委（校长）办公室，2022年11月10日印发）</w:t>
      </w:r>
    </w:p>
    <w:p w:rsidR="00431684" w:rsidRDefault="00431684" w:rsidP="00431684">
      <w:pPr>
        <w:spacing w:beforeLines="30" w:before="93" w:afterLines="30" w:after="93" w:line="518" w:lineRule="exact"/>
        <w:jc w:val="center"/>
        <w:rPr>
          <w:rFonts w:ascii="方正大标宋_GBK" w:eastAsia="方正大标宋_GBK" w:hAnsi="宋体" w:cs="微软雅黑"/>
          <w:sz w:val="44"/>
          <w:szCs w:val="44"/>
        </w:rPr>
      </w:pPr>
    </w:p>
    <w:p w:rsidR="00431684" w:rsidRPr="00080E1C" w:rsidRDefault="00431684" w:rsidP="00431684">
      <w:pPr>
        <w:spacing w:beforeLines="30" w:before="93" w:afterLines="30" w:after="93" w:line="518" w:lineRule="exact"/>
        <w:jc w:val="center"/>
        <w:rPr>
          <w:rFonts w:ascii="方正大标宋_GBK" w:eastAsia="方正大标宋_GBK" w:hAnsi="宋体" w:cs="微软雅黑" w:hint="eastAsia"/>
          <w:sz w:val="44"/>
          <w:szCs w:val="44"/>
        </w:rPr>
      </w:pPr>
      <w:r w:rsidRPr="00080E1C">
        <w:rPr>
          <w:rFonts w:ascii="方正大标宋_GBK" w:eastAsia="方正大标宋_GBK" w:hAnsi="宋体" w:cs="微软雅黑" w:hint="eastAsia"/>
          <w:sz w:val="44"/>
          <w:szCs w:val="44"/>
        </w:rPr>
        <w:t>潍坊学院国有资产管理绩效考核暂行办法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第一章  总则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>第一条</w:t>
      </w:r>
      <w:r>
        <w:rPr>
          <w:rFonts w:ascii="仿宋" w:eastAsia="仿宋" w:hAnsi="仿宋" w:hint="eastAsia"/>
          <w:szCs w:val="32"/>
        </w:rPr>
        <w:t xml:space="preserve">  为</w:t>
      </w:r>
      <w:r>
        <w:rPr>
          <w:rFonts w:ascii="仿宋" w:eastAsia="仿宋" w:hAnsi="仿宋"/>
          <w:szCs w:val="32"/>
        </w:rPr>
        <w:t>做好</w:t>
      </w:r>
      <w:r>
        <w:rPr>
          <w:rFonts w:ascii="仿宋" w:eastAsia="仿宋" w:hAnsi="仿宋" w:hint="eastAsia"/>
          <w:szCs w:val="32"/>
        </w:rPr>
        <w:t>国</w:t>
      </w:r>
      <w:r>
        <w:rPr>
          <w:rFonts w:ascii="仿宋" w:eastAsia="仿宋" w:hAnsi="仿宋"/>
          <w:szCs w:val="32"/>
        </w:rPr>
        <w:t>有</w:t>
      </w:r>
      <w:r>
        <w:rPr>
          <w:rFonts w:ascii="仿宋" w:eastAsia="仿宋" w:hAnsi="仿宋" w:hint="eastAsia"/>
          <w:szCs w:val="32"/>
        </w:rPr>
        <w:t>资产</w:t>
      </w:r>
      <w:r>
        <w:rPr>
          <w:rFonts w:ascii="仿宋" w:eastAsia="仿宋" w:hAnsi="仿宋"/>
          <w:szCs w:val="32"/>
        </w:rPr>
        <w:t>管理</w:t>
      </w:r>
      <w:r>
        <w:rPr>
          <w:rFonts w:ascii="仿宋" w:eastAsia="仿宋" w:hAnsi="仿宋" w:hint="eastAsia"/>
          <w:szCs w:val="32"/>
        </w:rPr>
        <w:t>绩效</w:t>
      </w:r>
      <w:r>
        <w:rPr>
          <w:rFonts w:ascii="仿宋" w:eastAsia="仿宋" w:hAnsi="仿宋"/>
          <w:szCs w:val="32"/>
        </w:rPr>
        <w:t>考核</w:t>
      </w:r>
      <w:r>
        <w:rPr>
          <w:rFonts w:ascii="仿宋" w:eastAsia="仿宋" w:hAnsi="仿宋" w:hint="eastAsia"/>
          <w:szCs w:val="32"/>
        </w:rPr>
        <w:t>工作，强化资产管理内部流程控制，促进资产科学配置、有效使用和规范处置，提高学校国有资产使用效益，更好为</w:t>
      </w:r>
      <w:r>
        <w:rPr>
          <w:rFonts w:ascii="仿宋" w:eastAsia="仿宋" w:hAnsi="仿宋"/>
          <w:szCs w:val="32"/>
        </w:rPr>
        <w:t>教学、科研提供</w:t>
      </w:r>
      <w:r>
        <w:rPr>
          <w:rFonts w:ascii="仿宋" w:eastAsia="仿宋" w:hAnsi="仿宋" w:hint="eastAsia"/>
          <w:szCs w:val="32"/>
        </w:rPr>
        <w:t>服务</w:t>
      </w:r>
      <w:r>
        <w:rPr>
          <w:rFonts w:ascii="仿宋" w:eastAsia="仿宋" w:hAnsi="仿宋"/>
          <w:szCs w:val="32"/>
        </w:rPr>
        <w:t>保障</w:t>
      </w:r>
      <w:r>
        <w:rPr>
          <w:rFonts w:ascii="仿宋" w:eastAsia="仿宋" w:hAnsi="仿宋" w:hint="eastAsia"/>
          <w:szCs w:val="32"/>
        </w:rPr>
        <w:t>, 根据《中华人民共和国预算法》和省委、省政府《关于全面推进预算绩效管理的实施意见》以及《山东省省级行政事业性国有资产管理绩效考核暂行办法》等，结合学校实际，制定本办法。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第二条 </w:t>
      </w:r>
      <w:r>
        <w:rPr>
          <w:rFonts w:ascii="楷体" w:eastAsia="楷体" w:hAnsi="楷体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本办法考核对象为学</w:t>
      </w:r>
      <w:r>
        <w:rPr>
          <w:rFonts w:ascii="仿宋" w:eastAsia="仿宋" w:hAnsi="仿宋"/>
          <w:szCs w:val="32"/>
        </w:rPr>
        <w:t>校</w:t>
      </w:r>
      <w:r>
        <w:rPr>
          <w:rFonts w:ascii="仿宋" w:eastAsia="仿宋" w:hAnsi="仿宋" w:hint="eastAsia"/>
          <w:szCs w:val="32"/>
        </w:rPr>
        <w:t>使用国有资产的单位(部门)和个人。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第三条 </w:t>
      </w:r>
      <w:r>
        <w:rPr>
          <w:rFonts w:ascii="仿宋" w:eastAsia="仿宋" w:hAnsi="仿宋" w:hint="eastAsia"/>
          <w:szCs w:val="32"/>
        </w:rPr>
        <w:t xml:space="preserve"> 资产管理绩效考核应当坚持客观公正、严格规范、注重实效的原则。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第二章 考核内容和指标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第四条  </w:t>
      </w:r>
      <w:r>
        <w:rPr>
          <w:rFonts w:ascii="仿宋" w:eastAsia="仿宋" w:hAnsi="仿宋" w:hint="eastAsia"/>
          <w:szCs w:val="32"/>
        </w:rPr>
        <w:t>资产管理绩效主要考核资产</w:t>
      </w:r>
      <w:r>
        <w:rPr>
          <w:rFonts w:ascii="仿宋" w:eastAsia="仿宋" w:hAnsi="仿宋"/>
          <w:szCs w:val="32"/>
        </w:rPr>
        <w:t>使用单位</w:t>
      </w:r>
      <w:r>
        <w:rPr>
          <w:rFonts w:ascii="仿宋" w:eastAsia="仿宋" w:hAnsi="仿宋" w:hint="eastAsia"/>
          <w:szCs w:val="32"/>
        </w:rPr>
        <w:t>资产管理机制、资产配置管理、资产使用管理、资产信息管理、资产处置管理、资产增长率、超最低折旧年限资产利用率及大型仪器设备共享等内容。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第五条 </w:t>
      </w:r>
      <w:r>
        <w:rPr>
          <w:rFonts w:ascii="仿宋" w:eastAsia="仿宋" w:hAnsi="仿宋" w:hint="eastAsia"/>
          <w:szCs w:val="32"/>
        </w:rPr>
        <w:t xml:space="preserve"> 资产管理绩效考核设置定性指标和定量指标。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第六条 </w:t>
      </w:r>
      <w:r>
        <w:rPr>
          <w:rFonts w:ascii="仿宋" w:eastAsia="仿宋" w:hAnsi="仿宋" w:hint="eastAsia"/>
          <w:szCs w:val="32"/>
        </w:rPr>
        <w:t xml:space="preserve"> 定性指标主要包括：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</w:t>
      </w:r>
      <w:proofErr w:type="gramStart"/>
      <w:r>
        <w:rPr>
          <w:rFonts w:ascii="仿宋" w:eastAsia="仿宋" w:hAnsi="仿宋" w:hint="eastAsia"/>
          <w:szCs w:val="32"/>
        </w:rPr>
        <w:t>一</w:t>
      </w:r>
      <w:proofErr w:type="gramEnd"/>
      <w:r>
        <w:rPr>
          <w:rFonts w:ascii="仿宋" w:eastAsia="仿宋" w:hAnsi="仿宋" w:hint="eastAsia"/>
          <w:szCs w:val="32"/>
        </w:rPr>
        <w:t>)资产管理机制；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(二)资产配置管理；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(三)资产使用管理；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(四)资产处置管理。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第七条  </w:t>
      </w:r>
      <w:r>
        <w:rPr>
          <w:rFonts w:ascii="仿宋" w:eastAsia="仿宋" w:hAnsi="仿宋" w:hint="eastAsia"/>
          <w:szCs w:val="32"/>
        </w:rPr>
        <w:t>定量指标主要包括：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</w:t>
      </w:r>
      <w:proofErr w:type="gramStart"/>
      <w:r>
        <w:rPr>
          <w:rFonts w:ascii="仿宋" w:eastAsia="仿宋" w:hAnsi="仿宋" w:hint="eastAsia"/>
          <w:szCs w:val="32"/>
        </w:rPr>
        <w:t>一</w:t>
      </w:r>
      <w:proofErr w:type="gramEnd"/>
      <w:r>
        <w:rPr>
          <w:rFonts w:ascii="仿宋" w:eastAsia="仿宋" w:hAnsi="仿宋" w:hint="eastAsia"/>
          <w:szCs w:val="32"/>
        </w:rPr>
        <w:t>)资产增长率，考核资产变化情况。分为家具增长率和设备增长率。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家具增长率=(年末家具账面价值-年初家具账面价值) ÷年初家具账面价值×100%。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设备增长率=(年末设备账面价值-年初设备账面价值) ÷年初设备账面价值×100%。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(二)超最低折旧年限资产利用率，考核延长资产使用年度的情况。分为</w:t>
      </w:r>
      <w:proofErr w:type="gramStart"/>
      <w:r>
        <w:rPr>
          <w:rFonts w:ascii="仿宋" w:eastAsia="仿宋" w:hAnsi="仿宋" w:hint="eastAsia"/>
          <w:szCs w:val="32"/>
        </w:rPr>
        <w:t>家具超</w:t>
      </w:r>
      <w:proofErr w:type="gramEnd"/>
      <w:r>
        <w:rPr>
          <w:rFonts w:ascii="仿宋" w:eastAsia="仿宋" w:hAnsi="仿宋" w:hint="eastAsia"/>
          <w:szCs w:val="32"/>
        </w:rPr>
        <w:t>最低折旧年限资产利用率和</w:t>
      </w:r>
      <w:proofErr w:type="gramStart"/>
      <w:r>
        <w:rPr>
          <w:rFonts w:ascii="仿宋" w:eastAsia="仿宋" w:hAnsi="仿宋" w:hint="eastAsia"/>
          <w:szCs w:val="32"/>
        </w:rPr>
        <w:t>设备超</w:t>
      </w:r>
      <w:proofErr w:type="gramEnd"/>
      <w:r>
        <w:rPr>
          <w:rFonts w:ascii="仿宋" w:eastAsia="仿宋" w:hAnsi="仿宋" w:hint="eastAsia"/>
          <w:szCs w:val="32"/>
        </w:rPr>
        <w:t>最低折旧年限资产利用率。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proofErr w:type="gramStart"/>
      <w:r>
        <w:rPr>
          <w:rFonts w:ascii="仿宋" w:eastAsia="仿宋" w:hAnsi="仿宋" w:hint="eastAsia"/>
          <w:szCs w:val="32"/>
        </w:rPr>
        <w:t>家具超</w:t>
      </w:r>
      <w:proofErr w:type="gramEnd"/>
      <w:r>
        <w:rPr>
          <w:rFonts w:ascii="仿宋" w:eastAsia="仿宋" w:hAnsi="仿宋" w:hint="eastAsia"/>
          <w:szCs w:val="32"/>
        </w:rPr>
        <w:t>最低折旧年限资产利用率=超最低折旧年限的家具账面价值÷家具账面价值×100%。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proofErr w:type="gramStart"/>
      <w:r>
        <w:rPr>
          <w:rFonts w:ascii="仿宋" w:eastAsia="仿宋" w:hAnsi="仿宋" w:hint="eastAsia"/>
          <w:szCs w:val="32"/>
        </w:rPr>
        <w:t>设备超</w:t>
      </w:r>
      <w:proofErr w:type="gramEnd"/>
      <w:r>
        <w:rPr>
          <w:rFonts w:ascii="仿宋" w:eastAsia="仿宋" w:hAnsi="仿宋" w:hint="eastAsia"/>
          <w:szCs w:val="32"/>
        </w:rPr>
        <w:t>最低折旧年限资产利用率=超最低折旧年限的设备账面价值÷设备账面价值×100%。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(三)资产共享共用，考核资产统一调配工作开展的情况。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第八条 </w:t>
      </w:r>
      <w:r>
        <w:rPr>
          <w:rFonts w:ascii="仿宋" w:eastAsia="仿宋" w:hAnsi="仿宋" w:hint="eastAsia"/>
          <w:szCs w:val="32"/>
        </w:rPr>
        <w:t xml:space="preserve"> 定性和定量考核实行百分制。同时设加分项和一票</w:t>
      </w:r>
      <w:r>
        <w:rPr>
          <w:rFonts w:ascii="仿宋" w:eastAsia="仿宋" w:hAnsi="仿宋"/>
          <w:szCs w:val="32"/>
        </w:rPr>
        <w:t>否决</w:t>
      </w:r>
      <w:r>
        <w:rPr>
          <w:rFonts w:ascii="仿宋" w:eastAsia="仿宋" w:hAnsi="仿宋" w:hint="eastAsia"/>
          <w:szCs w:val="32"/>
        </w:rPr>
        <w:t>项。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1000" w:firstLine="32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第三章  组织实施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第九条  </w:t>
      </w:r>
      <w:r>
        <w:rPr>
          <w:rFonts w:ascii="仿宋" w:eastAsia="仿宋" w:hAnsi="仿宋" w:hint="eastAsia"/>
          <w:szCs w:val="32"/>
        </w:rPr>
        <w:t>资产管理绩效考核分被考核单位(</w:t>
      </w:r>
      <w:r>
        <w:rPr>
          <w:rFonts w:ascii="仿宋" w:eastAsia="仿宋" w:hAnsi="仿宋"/>
          <w:szCs w:val="32"/>
        </w:rPr>
        <w:t>部门)</w:t>
      </w:r>
      <w:r>
        <w:rPr>
          <w:rFonts w:ascii="仿宋" w:eastAsia="仿宋" w:hAnsi="仿宋" w:hint="eastAsia"/>
          <w:szCs w:val="32"/>
        </w:rPr>
        <w:t>自评和学校复核考评二个环节。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第十条 </w:t>
      </w:r>
      <w:r>
        <w:rPr>
          <w:rFonts w:ascii="楷体" w:eastAsia="楷体" w:hAnsi="楷体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被考核单位</w:t>
      </w:r>
      <w:r>
        <w:rPr>
          <w:rFonts w:ascii="仿宋" w:eastAsia="仿宋" w:hAnsi="仿宋"/>
          <w:szCs w:val="32"/>
        </w:rPr>
        <w:t>(部门</w:t>
      </w:r>
      <w:r>
        <w:rPr>
          <w:rFonts w:ascii="仿宋" w:eastAsia="仿宋" w:hAnsi="仿宋" w:hint="eastAsia"/>
          <w:szCs w:val="32"/>
        </w:rPr>
        <w:t>)</w:t>
      </w:r>
      <w:r>
        <w:rPr>
          <w:rFonts w:ascii="仿宋" w:eastAsia="仿宋" w:hAnsi="仿宋"/>
          <w:szCs w:val="32"/>
        </w:rPr>
        <w:t>自评。</w:t>
      </w:r>
      <w:r>
        <w:rPr>
          <w:rFonts w:ascii="仿宋" w:eastAsia="仿宋" w:hAnsi="仿宋" w:hint="eastAsia"/>
          <w:szCs w:val="32"/>
        </w:rPr>
        <w:t>由各单位</w:t>
      </w:r>
      <w:r>
        <w:rPr>
          <w:rFonts w:ascii="仿宋" w:eastAsia="仿宋" w:hAnsi="仿宋"/>
          <w:szCs w:val="32"/>
        </w:rPr>
        <w:t>(部门</w:t>
      </w:r>
      <w:r>
        <w:rPr>
          <w:rFonts w:ascii="仿宋" w:eastAsia="仿宋" w:hAnsi="仿宋" w:hint="eastAsia"/>
          <w:szCs w:val="32"/>
        </w:rPr>
        <w:t>)参照考核内容对本单位</w:t>
      </w:r>
      <w:r>
        <w:rPr>
          <w:rFonts w:ascii="仿宋" w:eastAsia="仿宋" w:hAnsi="仿宋"/>
          <w:szCs w:val="32"/>
        </w:rPr>
        <w:t>(部门</w:t>
      </w:r>
      <w:r>
        <w:rPr>
          <w:rFonts w:ascii="仿宋" w:eastAsia="仿宋" w:hAnsi="仿宋" w:hint="eastAsia"/>
          <w:szCs w:val="32"/>
        </w:rPr>
        <w:t>)国有资产管理情况进行自查，对照《潍</w:t>
      </w:r>
      <w:r>
        <w:rPr>
          <w:rFonts w:ascii="仿宋" w:eastAsia="仿宋" w:hAnsi="仿宋"/>
          <w:szCs w:val="32"/>
        </w:rPr>
        <w:t>坊学院</w:t>
      </w:r>
      <w:r>
        <w:rPr>
          <w:rFonts w:ascii="仿宋" w:eastAsia="仿宋" w:hAnsi="仿宋" w:hint="eastAsia"/>
          <w:szCs w:val="32"/>
        </w:rPr>
        <w:t>资产管理绩效考核表》（见</w:t>
      </w:r>
      <w:r>
        <w:rPr>
          <w:rFonts w:ascii="仿宋" w:eastAsia="仿宋" w:hAnsi="仿宋"/>
          <w:szCs w:val="32"/>
        </w:rPr>
        <w:t>附件</w:t>
      </w:r>
      <w:r>
        <w:rPr>
          <w:rFonts w:ascii="仿宋" w:eastAsia="仿宋" w:hAnsi="仿宋" w:hint="eastAsia"/>
          <w:szCs w:val="32"/>
        </w:rPr>
        <w:t>）进行自评并提供</w:t>
      </w:r>
      <w:r>
        <w:rPr>
          <w:rFonts w:ascii="仿宋" w:eastAsia="仿宋" w:hAnsi="仿宋"/>
          <w:szCs w:val="32"/>
        </w:rPr>
        <w:t>佐证材料</w:t>
      </w:r>
      <w:r>
        <w:rPr>
          <w:rFonts w:ascii="仿宋" w:eastAsia="仿宋" w:hAnsi="仿宋" w:hint="eastAsia"/>
          <w:szCs w:val="32"/>
        </w:rPr>
        <w:t>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lastRenderedPageBreak/>
        <w:t xml:space="preserve">第十一条 </w:t>
      </w:r>
      <w:r>
        <w:rPr>
          <w:rFonts w:ascii="仿宋" w:eastAsia="仿宋" w:hAnsi="仿宋" w:hint="eastAsia"/>
          <w:szCs w:val="32"/>
        </w:rPr>
        <w:t xml:space="preserve"> 学校复核</w:t>
      </w:r>
      <w:r>
        <w:rPr>
          <w:rFonts w:ascii="仿宋" w:eastAsia="仿宋" w:hAnsi="仿宋"/>
          <w:szCs w:val="32"/>
        </w:rPr>
        <w:t>考评。</w:t>
      </w:r>
      <w:r>
        <w:rPr>
          <w:rFonts w:ascii="仿宋" w:eastAsia="仿宋" w:hAnsi="仿宋" w:hint="eastAsia"/>
          <w:szCs w:val="32"/>
        </w:rPr>
        <w:t>由资产与实验</w:t>
      </w:r>
      <w:r>
        <w:rPr>
          <w:rFonts w:ascii="仿宋" w:eastAsia="仿宋" w:hAnsi="仿宋"/>
          <w:szCs w:val="32"/>
        </w:rPr>
        <w:t>室管理处</w:t>
      </w:r>
      <w:r>
        <w:rPr>
          <w:rFonts w:ascii="仿宋" w:eastAsia="仿宋" w:hAnsi="仿宋" w:hint="eastAsia"/>
          <w:szCs w:val="32"/>
        </w:rPr>
        <w:t>牵头</w:t>
      </w:r>
      <w:r>
        <w:rPr>
          <w:rFonts w:ascii="仿宋" w:eastAsia="仿宋" w:hAnsi="仿宋"/>
          <w:szCs w:val="32"/>
        </w:rPr>
        <w:t>成立考核小组</w:t>
      </w:r>
      <w:r>
        <w:rPr>
          <w:rFonts w:ascii="仿宋" w:eastAsia="仿宋" w:hAnsi="仿宋" w:hint="eastAsia"/>
          <w:szCs w:val="32"/>
        </w:rPr>
        <w:t>，对照考核内容采取听取汇报、实地查看、核实数据、现场询问、账物核对等方式对各单位进行考核。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第十二条  </w:t>
      </w:r>
      <w:r>
        <w:rPr>
          <w:rFonts w:ascii="仿宋" w:eastAsia="仿宋" w:hAnsi="仿宋" w:hint="eastAsia"/>
          <w:szCs w:val="32"/>
        </w:rPr>
        <w:t>考核总分为100 分，根据考核</w:t>
      </w:r>
      <w:r>
        <w:rPr>
          <w:rFonts w:ascii="仿宋" w:eastAsia="仿宋" w:hAnsi="仿宋"/>
          <w:szCs w:val="32"/>
        </w:rPr>
        <w:t>成绩分为优秀、良好、合格、不合格四个</w:t>
      </w:r>
      <w:r>
        <w:rPr>
          <w:rFonts w:ascii="仿宋" w:eastAsia="仿宋" w:hAnsi="仿宋" w:hint="eastAsia"/>
          <w:szCs w:val="32"/>
        </w:rPr>
        <w:t>等级</w:t>
      </w:r>
      <w:r>
        <w:rPr>
          <w:rFonts w:ascii="仿宋" w:eastAsia="仿宋" w:hAnsi="仿宋"/>
          <w:szCs w:val="32"/>
        </w:rPr>
        <w:t>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第十三条  </w:t>
      </w:r>
      <w:r>
        <w:rPr>
          <w:rFonts w:ascii="仿宋" w:eastAsia="仿宋" w:hAnsi="仿宋" w:hint="eastAsia"/>
          <w:szCs w:val="32"/>
        </w:rPr>
        <w:t>有下列情形之一的，一票否决，并认定该单位(</w:t>
      </w:r>
      <w:r>
        <w:rPr>
          <w:rFonts w:ascii="仿宋" w:eastAsia="仿宋" w:hAnsi="仿宋"/>
          <w:szCs w:val="32"/>
        </w:rPr>
        <w:t>部门</w:t>
      </w:r>
      <w:r>
        <w:rPr>
          <w:rFonts w:ascii="仿宋" w:eastAsia="仿宋" w:hAnsi="仿宋" w:hint="eastAsia"/>
          <w:szCs w:val="32"/>
        </w:rPr>
        <w:t>)年度国有资产考核结果为不合格，同时追究单位(</w:t>
      </w:r>
      <w:r>
        <w:rPr>
          <w:rFonts w:ascii="仿宋" w:eastAsia="仿宋" w:hAnsi="仿宋"/>
          <w:szCs w:val="32"/>
        </w:rPr>
        <w:t>部门</w:t>
      </w:r>
      <w:r>
        <w:rPr>
          <w:rFonts w:ascii="仿宋" w:eastAsia="仿宋" w:hAnsi="仿宋" w:hint="eastAsia"/>
          <w:szCs w:val="32"/>
        </w:rPr>
        <w:t>)的相关责任。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</w:t>
      </w:r>
      <w:proofErr w:type="gramStart"/>
      <w:r>
        <w:rPr>
          <w:rFonts w:ascii="仿宋" w:eastAsia="仿宋" w:hAnsi="仿宋" w:hint="eastAsia"/>
          <w:szCs w:val="32"/>
        </w:rPr>
        <w:t>一</w:t>
      </w:r>
      <w:proofErr w:type="gramEnd"/>
      <w:r>
        <w:rPr>
          <w:rFonts w:ascii="仿宋" w:eastAsia="仿宋" w:hAnsi="仿宋" w:hint="eastAsia"/>
          <w:szCs w:val="32"/>
        </w:rPr>
        <w:t>)资产管理不善造成严重后果；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(二)有偿使用未按规定报批或未</w:t>
      </w:r>
      <w:r>
        <w:rPr>
          <w:rFonts w:ascii="仿宋" w:eastAsia="仿宋" w:hAnsi="仿宋"/>
          <w:szCs w:val="32"/>
        </w:rPr>
        <w:t>按规定</w:t>
      </w:r>
      <w:r>
        <w:rPr>
          <w:rFonts w:ascii="仿宋" w:eastAsia="仿宋" w:hAnsi="仿宋" w:hint="eastAsia"/>
          <w:szCs w:val="32"/>
        </w:rPr>
        <w:t>执行；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(三)私自处置资产；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(四)其他经学校研究认定不合格的</w:t>
      </w:r>
      <w:r>
        <w:rPr>
          <w:rFonts w:ascii="仿宋" w:eastAsia="仿宋" w:hAnsi="仿宋"/>
          <w:szCs w:val="32"/>
        </w:rPr>
        <w:t>情况</w:t>
      </w:r>
      <w:r>
        <w:rPr>
          <w:rFonts w:ascii="仿宋" w:eastAsia="仿宋" w:hAnsi="仿宋" w:hint="eastAsia"/>
          <w:szCs w:val="32"/>
        </w:rPr>
        <w:t>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1000" w:firstLine="32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第四章  结果应用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第十四条  </w:t>
      </w:r>
      <w:r>
        <w:rPr>
          <w:rFonts w:ascii="仿宋" w:eastAsia="仿宋" w:hAnsi="仿宋" w:hint="eastAsia"/>
          <w:szCs w:val="32"/>
        </w:rPr>
        <w:t>资产与</w:t>
      </w:r>
      <w:r>
        <w:rPr>
          <w:rFonts w:ascii="仿宋" w:eastAsia="仿宋" w:hAnsi="仿宋"/>
          <w:szCs w:val="32"/>
        </w:rPr>
        <w:t>实验室</w:t>
      </w:r>
      <w:r>
        <w:rPr>
          <w:rFonts w:ascii="仿宋" w:eastAsia="仿宋" w:hAnsi="仿宋" w:hint="eastAsia"/>
          <w:szCs w:val="32"/>
        </w:rPr>
        <w:t>管理</w:t>
      </w:r>
      <w:r>
        <w:rPr>
          <w:rFonts w:ascii="仿宋" w:eastAsia="仿宋" w:hAnsi="仿宋"/>
          <w:szCs w:val="32"/>
        </w:rPr>
        <w:t>处</w:t>
      </w:r>
      <w:r>
        <w:rPr>
          <w:rFonts w:ascii="仿宋" w:eastAsia="仿宋" w:hAnsi="仿宋" w:hint="eastAsia"/>
          <w:szCs w:val="32"/>
        </w:rPr>
        <w:t>对考核结果进行公示，对存在的问题下达整改意见书，各部门应按要求认真整改。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第十五条 </w:t>
      </w:r>
      <w:r>
        <w:rPr>
          <w:rFonts w:ascii="仿宋" w:eastAsia="仿宋" w:hAnsi="仿宋" w:hint="eastAsia"/>
          <w:szCs w:val="32"/>
        </w:rPr>
        <w:t xml:space="preserve"> 考核结果纳入学校综合绩效考核。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考核结果纳入学校综合绩效考核，与单位</w:t>
      </w:r>
      <w:r>
        <w:rPr>
          <w:rFonts w:ascii="仿宋" w:eastAsia="仿宋" w:hAnsi="仿宋"/>
          <w:szCs w:val="32"/>
        </w:rPr>
        <w:t>(</w:t>
      </w:r>
      <w:r>
        <w:rPr>
          <w:rFonts w:ascii="仿宋" w:eastAsia="仿宋" w:hAnsi="仿宋" w:hint="eastAsia"/>
          <w:szCs w:val="32"/>
        </w:rPr>
        <w:t>部门)评优和奖惩相结合。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第五章  附则</w:t>
      </w:r>
    </w:p>
    <w:p w:rsidR="00431684" w:rsidRDefault="00431684" w:rsidP="00431684">
      <w:pPr>
        <w:adjustRightInd w:val="0"/>
        <w:snapToGrid w:val="0"/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第十六条 </w:t>
      </w:r>
      <w:r>
        <w:rPr>
          <w:rFonts w:ascii="仿宋" w:eastAsia="仿宋" w:hAnsi="仿宋" w:hint="eastAsia"/>
          <w:szCs w:val="32"/>
        </w:rPr>
        <w:t xml:space="preserve"> 本办法由资产</w:t>
      </w:r>
      <w:r>
        <w:rPr>
          <w:rFonts w:ascii="仿宋" w:eastAsia="仿宋" w:hAnsi="仿宋"/>
          <w:szCs w:val="32"/>
        </w:rPr>
        <w:t>与实验室</w:t>
      </w:r>
      <w:r>
        <w:rPr>
          <w:rFonts w:ascii="仿宋" w:eastAsia="仿宋" w:hAnsi="仿宋" w:hint="eastAsia"/>
          <w:szCs w:val="32"/>
        </w:rPr>
        <w:t>管理处负责解释。</w:t>
      </w:r>
    </w:p>
    <w:p w:rsidR="00431684" w:rsidRDefault="00431684" w:rsidP="00431684">
      <w:pPr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方正楷体_GBK" w:eastAsia="方正楷体_GBK" w:hAnsi="楷体" w:hint="eastAsia"/>
          <w:szCs w:val="32"/>
        </w:rPr>
        <w:t xml:space="preserve">第十七条  </w:t>
      </w:r>
      <w:r>
        <w:rPr>
          <w:rFonts w:ascii="仿宋" w:eastAsia="仿宋" w:hAnsi="仿宋" w:hint="eastAsia"/>
          <w:szCs w:val="32"/>
        </w:rPr>
        <w:t>本办法自印发之日起施行。</w:t>
      </w:r>
    </w:p>
    <w:p w:rsidR="00431684" w:rsidRDefault="00431684" w:rsidP="00431684">
      <w:pPr>
        <w:spacing w:beforeLines="30" w:before="93" w:afterLines="30" w:after="93" w:line="518" w:lineRule="exact"/>
        <w:ind w:firstLineChars="200" w:firstLine="640"/>
        <w:rPr>
          <w:rFonts w:ascii="仿宋" w:eastAsia="仿宋" w:hAnsi="仿宋"/>
          <w:szCs w:val="32"/>
        </w:rPr>
      </w:pPr>
    </w:p>
    <w:p w:rsidR="00431684" w:rsidRDefault="00431684" w:rsidP="00431684">
      <w:pPr>
        <w:spacing w:beforeLines="30" w:before="93" w:afterLines="30" w:after="93" w:line="518" w:lineRule="exact"/>
        <w:ind w:firstLineChars="200" w:firstLine="640"/>
        <w:rPr>
          <w:rFonts w:ascii="宋体" w:hAnsi="宋体" w:cs="宋体"/>
          <w:sz w:val="24"/>
        </w:rPr>
      </w:pPr>
      <w:r>
        <w:rPr>
          <w:rFonts w:ascii="仿宋" w:eastAsia="仿宋" w:hAnsi="仿宋" w:hint="eastAsia"/>
          <w:szCs w:val="32"/>
        </w:rPr>
        <w:t>附件：潍坊学院资产管理绩效考核表</w:t>
      </w:r>
    </w:p>
    <w:p w:rsidR="00431684" w:rsidRDefault="00431684" w:rsidP="00431684">
      <w:pPr>
        <w:tabs>
          <w:tab w:val="left" w:pos="687"/>
        </w:tabs>
        <w:rPr>
          <w:rFonts w:ascii="宋体" w:hAnsi="宋体" w:cs="宋体"/>
          <w:sz w:val="24"/>
        </w:rPr>
        <w:sectPr w:rsidR="00431684" w:rsidSect="00431684">
          <w:footerReference w:type="default" r:id="rId8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431684" w:rsidRDefault="00431684" w:rsidP="00431684">
      <w:pPr>
        <w:widowControl/>
        <w:adjustRightInd w:val="0"/>
        <w:snapToGrid w:val="0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</w:rPr>
        <w:lastRenderedPageBreak/>
        <w:t>附件</w:t>
      </w:r>
    </w:p>
    <w:p w:rsidR="00431684" w:rsidRDefault="00431684" w:rsidP="00431684">
      <w:pPr>
        <w:tabs>
          <w:tab w:val="left" w:pos="687"/>
        </w:tabs>
        <w:jc w:val="center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潍坊学院资产管理绩效考核表</w:t>
      </w:r>
    </w:p>
    <w:tbl>
      <w:tblPr>
        <w:tblW w:w="15140" w:type="dxa"/>
        <w:jc w:val="center"/>
        <w:tblLook w:val="0000" w:firstRow="0" w:lastRow="0" w:firstColumn="0" w:lastColumn="0" w:noHBand="0" w:noVBand="0"/>
      </w:tblPr>
      <w:tblGrid>
        <w:gridCol w:w="1057"/>
        <w:gridCol w:w="2053"/>
        <w:gridCol w:w="10617"/>
        <w:gridCol w:w="708"/>
        <w:gridCol w:w="705"/>
      </w:tblGrid>
      <w:tr w:rsidR="00431684" w:rsidTr="00AC5C9D">
        <w:trPr>
          <w:trHeight w:val="641"/>
          <w:tblHeader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考评目标内容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考核标准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ind w:leftChars="-42" w:left="-133" w:rightChars="-39" w:right="-123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自评      得分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考评    得分</w:t>
            </w:r>
          </w:p>
        </w:tc>
      </w:tr>
      <w:tr w:rsidR="00AC5C9D" w:rsidTr="00AC5C9D">
        <w:trPr>
          <w:trHeight w:val="492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1.资产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管理机制(15分)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管理机构与人员(6分)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有资产工作分管领导计2分，无分管领导计0分；资产管理员连续任职满2年计4分，满1年不满2年计2分，不满1年计0分(成立不足2年单位的资产管理员无更换，此项得满分)。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631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业务培训(4分)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按要求参加年度业务培训无迟到早退计4分；参加业务培训有迟到、早退，每人次扣1分；不参加培训计0分。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613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资产清查(5分)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按规定要求完成清查任务，计5分(按时完成清查任务计3分，上报材料详实完整计2分)；未进行资产清查，计0分。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87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2.资产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配置管理(16分)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配置预算(4分)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实行资产配置预算管理，计4分；未实行资产配置预算管理，计0分。无配置事项按满分计。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35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配置标准(4分)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严格执行资产配置标准，计4分；未严格执行资产配置标准，计0分。无配置事项按满分计。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35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政府采购(4分)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严格执行政府采购规定，计4分；未严格执行政府采购规定，计0分。无采购事项按满分计。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612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共享共用(4分)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资产配置时优先调剂使用闲置资产，计4分；未调剂直接购买新资产，计0分。无配置事项按满分计。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592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使用管理(15分)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保管规范(6分)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资产齐全、安全完好计6分；保管不善扣1分；有部分缺失，每件扣1分；资产被盗、损毁及丢失计0分。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39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使用无闲置(4分)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资产使用无闲置，计4分；有闲置资产，每件扣1分。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35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有偿使用(5分)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资产有偿使用按规定报批并执行，计5分；未按规定报批或未按规定执行，绩效考核计0分。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72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信息管理(16分)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信息准确(6分)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本年度新增资产名称、品牌、规格型号、生产厂家、销售商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等必填项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信息准确，计6分；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必填项信息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不准确，每项扣1分。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661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变动及时(6分)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资产使用单位、使用人、存放地点等发生变化后2周内做好资产变动，计6分；每延迟一周，扣1分。实际无变动事项的按满分计。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484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减员调整(4分)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减员人员名下资产完全移交，计4分；未完全移交的，计0分。无减员事项按满分计。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421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资产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处置管理(22分)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程序规范(6分)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资产处置全部按规定程序进行处置，计6分；未按规定处置资产，绩效考核计0分。无处置项按满分计。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64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保存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完整(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待处置资产保存完整无缺失，计6分；有部分缺失每件扣1分。无处置项按满分计。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592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信息准确(6分)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处置资产规格、数量等信息与评估状态一致，计6分；有不一致的，每件扣1分。无处置项按满分计。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347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处置年限(4分)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处置资产符合学校规定年限，计4分；未达到学校规定年限，每件扣1分。无处置项按满分计。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721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增长率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(8分)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C5C9D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家具增长率X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X=(年末家具账面价值-年初家具账面价值)÷年初家具账面价值×100%。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家具平均增长率N,X≤0,计4分；0&lt;X≤N,计2分；N&lt;X≤2N,计1分；X&gt;2N，计0分。成立不足2年单位得分低于平均分的，按平均分计。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878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C5C9D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设备增长率Y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Y=(年末设备账面价值-年初设备账面价值)÷年初设备账面价值×100%。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设备平均增长率N,Y≤0,计4分；0&lt;Y≤N,计2分；N&lt;Y≤2N,计1分；Y&gt;2N，计0分。成立不足2年单位得分低于平均分的，按平均分计。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620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7.超最低折旧年限资产利用率(8分)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C5C9D" w:rsidRDefault="00431684" w:rsidP="00AC5C9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家具超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最低折旧年限资产利用率X</w:t>
            </w:r>
          </w:p>
          <w:p w:rsidR="00431684" w:rsidRDefault="00431684" w:rsidP="00AC5C9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X=年末超最低折旧年限家具账面价值÷年末家具账面价值×100%。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X≥30%计4分;20%≤X&lt;30%,计2分;10%≤X&lt;20%,计1分;；X&lt;10%,计0分。成立不足2年单位得分低于平均分的，按平均分计。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852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C5C9D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最低折旧年限资产利用率Y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(4分)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Y=年末超最低折旧年限设备账面价值÷年末设备账面价值×100%。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Y≥30%计4分；20%≤Y&lt;30%,计2分；10%≤Y&lt;20%,计1分；Y&lt;10%,计0分。成立不足2年单位得分低于平均分的，按平均分计。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66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加分项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分)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大型仪器设备共享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对校外提供服务有收入，计3分；校内跨单位提供共享服务有收入，计2分；提供服务无收入，计1分；未提供共享服务，计0分。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C5C9D" w:rsidTr="00AC5C9D">
        <w:trPr>
          <w:trHeight w:val="66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一票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否决项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资产管理出现严重</w:t>
            </w:r>
          </w:p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问题(0分)</w:t>
            </w:r>
          </w:p>
        </w:tc>
        <w:tc>
          <w:tcPr>
            <w:tcW w:w="10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有下列情况之一，资产管理绩效考核计0分：(1)资产管理不善造成严重后果；(2)有偿使用未按规定报批或未按规定执行；(3)私自处置资产；(4)其他经学校研究认定不合格。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31684" w:rsidTr="00AC5C9D">
        <w:trPr>
          <w:trHeight w:val="271"/>
          <w:jc w:val="center"/>
        </w:trPr>
        <w:tc>
          <w:tcPr>
            <w:tcW w:w="13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考核得分合计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431684" w:rsidRDefault="00431684" w:rsidP="0043168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C5C9D" w:rsidRDefault="00AC5C9D" w:rsidP="00AC5C9D">
      <w:pPr>
        <w:widowControl/>
        <w:adjustRightInd w:val="0"/>
        <w:snapToGrid w:val="0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注：每个考核项扣分扣完为止。</w:t>
      </w:r>
    </w:p>
    <w:p w:rsidR="00903951" w:rsidRPr="00AC5C9D" w:rsidRDefault="00903951" w:rsidP="00AC5C9D">
      <w:pPr>
        <w:widowControl/>
        <w:adjustRightInd w:val="0"/>
        <w:snapToGrid w:val="0"/>
        <w:spacing w:line="240" w:lineRule="atLeast"/>
        <w:jc w:val="left"/>
        <w:rPr>
          <w:rFonts w:ascii="方正小标宋_GBK" w:eastAsia="方正小标宋_GBK" w:hAnsi="等线 Light" w:hint="eastAsia"/>
          <w:color w:val="000000"/>
          <w:sz w:val="10"/>
          <w:szCs w:val="10"/>
        </w:rPr>
      </w:pPr>
    </w:p>
    <w:sectPr w:rsidR="00903951" w:rsidRPr="00AC5C9D" w:rsidSect="00AC5C9D">
      <w:footerReference w:type="even" r:id="rId9"/>
      <w:footerReference w:type="default" r:id="rId10"/>
      <w:pgSz w:w="16838" w:h="11906" w:orient="landscape"/>
      <w:pgMar w:top="1418" w:right="1418" w:bottom="1418" w:left="141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32" w:rsidRDefault="00A42532" w:rsidP="00903951">
      <w:r>
        <w:separator/>
      </w:r>
    </w:p>
  </w:endnote>
  <w:endnote w:type="continuationSeparator" w:id="0">
    <w:p w:rsidR="00A42532" w:rsidRDefault="00A42532" w:rsidP="009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84" w:rsidRDefault="00431684">
    <w:pPr>
      <w:pStyle w:val="a5"/>
      <w:ind w:rightChars="100" w:right="320"/>
      <w:jc w:val="right"/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 w:rsidR="00AC5C9D">
      <w:rPr>
        <w:rStyle w:val="a9"/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27" w:rsidRDefault="00A42532">
    <w:pPr>
      <w:pStyle w:val="a5"/>
      <w:ind w:rightChars="100" w:right="320" w:firstLineChars="100" w:firstLine="280"/>
    </w:pPr>
    <w:r>
      <w:rPr>
        <w:rStyle w:val="a9"/>
        <w:rFonts w:ascii="宋体" w:eastAsia="宋体" w:hAnsi="宋体" w:hint="eastAsia"/>
        <w:sz w:val="28"/>
        <w:szCs w:val="28"/>
      </w:rPr>
      <w:t>—</w:t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noProof/>
        <w:sz w:val="28"/>
        <w:szCs w:val="28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27" w:rsidRDefault="00A42532">
    <w:pPr>
      <w:pStyle w:val="a5"/>
      <w:jc w:val="center"/>
    </w:pPr>
    <w:r>
      <w:rPr>
        <w:rStyle w:val="a9"/>
        <w:rFonts w:ascii="宋体" w:eastAsia="宋体" w:hAnsi="宋体" w:hint="eastAsia"/>
        <w:sz w:val="28"/>
        <w:szCs w:val="28"/>
      </w:rPr>
      <w:t xml:space="preserve">                                                   </w:t>
    </w:r>
    <w:r>
      <w:rPr>
        <w:rStyle w:val="a9"/>
        <w:rFonts w:ascii="宋体" w:eastAsia="宋体" w:hAnsi="宋体" w:hint="eastAsia"/>
        <w:sz w:val="28"/>
        <w:szCs w:val="28"/>
      </w:rPr>
      <w:t>—</w:t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 w:rsidR="00AC5C9D">
      <w:rPr>
        <w:rStyle w:val="a9"/>
        <w:rFonts w:ascii="宋体" w:eastAsia="宋体" w:hAnsi="宋体"/>
        <w:noProof/>
        <w:sz w:val="28"/>
        <w:szCs w:val="28"/>
      </w:rPr>
      <w:t>5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32" w:rsidRDefault="00A42532" w:rsidP="00903951">
      <w:r>
        <w:separator/>
      </w:r>
    </w:p>
  </w:footnote>
  <w:footnote w:type="continuationSeparator" w:id="0">
    <w:p w:rsidR="00A42532" w:rsidRDefault="00A42532" w:rsidP="0090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873B"/>
    <w:multiLevelType w:val="singleLevel"/>
    <w:tmpl w:val="0439873B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6C"/>
    <w:rsid w:val="000D0062"/>
    <w:rsid w:val="003A5AD6"/>
    <w:rsid w:val="003B6327"/>
    <w:rsid w:val="00431684"/>
    <w:rsid w:val="006068DF"/>
    <w:rsid w:val="00854C45"/>
    <w:rsid w:val="008960AC"/>
    <w:rsid w:val="0089669E"/>
    <w:rsid w:val="00903951"/>
    <w:rsid w:val="009507E9"/>
    <w:rsid w:val="00A42532"/>
    <w:rsid w:val="00AC1270"/>
    <w:rsid w:val="00AC5C9D"/>
    <w:rsid w:val="00B53519"/>
    <w:rsid w:val="00C5525C"/>
    <w:rsid w:val="00C91737"/>
    <w:rsid w:val="00C947B5"/>
    <w:rsid w:val="00CF42A1"/>
    <w:rsid w:val="00E12FBE"/>
    <w:rsid w:val="00F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BCC84"/>
  <w15:chartTrackingRefBased/>
  <w15:docId w15:val="{D84221C5-1E04-4D27-BC19-28B6C2F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6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903951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AD6"/>
    <w:pPr>
      <w:spacing w:after="120"/>
      <w:ind w:leftChars="200" w:left="420"/>
    </w:pPr>
    <w:rPr>
      <w:rFonts w:ascii="Times New Roman" w:hAnsi="Times New Roman"/>
    </w:rPr>
  </w:style>
  <w:style w:type="character" w:customStyle="1" w:styleId="a4">
    <w:name w:val="正文文本缩进 字符"/>
    <w:basedOn w:val="a0"/>
    <w:link w:val="a3"/>
    <w:rsid w:val="003A5AD6"/>
    <w:rPr>
      <w:rFonts w:ascii="Times New Roman" w:eastAsia="仿宋_GB2312" w:hAnsi="Times New Roman" w:cs="Times New Roman"/>
      <w:sz w:val="32"/>
      <w:szCs w:val="24"/>
    </w:rPr>
  </w:style>
  <w:style w:type="character" w:customStyle="1" w:styleId="60">
    <w:name w:val="标题 6 字符"/>
    <w:basedOn w:val="a0"/>
    <w:link w:val="6"/>
    <w:rsid w:val="00903951"/>
    <w:rPr>
      <w:rFonts w:ascii="Arial" w:eastAsia="黑体" w:hAnsi="Arial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3951"/>
    <w:rPr>
      <w:rFonts w:ascii="Calibri" w:eastAsia="仿宋_GB2312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03951"/>
    <w:rPr>
      <w:rFonts w:ascii="Calibri" w:eastAsia="仿宋_GB2312" w:hAnsi="Calibri" w:cs="Times New Roman"/>
      <w:sz w:val="18"/>
      <w:szCs w:val="18"/>
    </w:rPr>
  </w:style>
  <w:style w:type="character" w:styleId="a9">
    <w:name w:val="page number"/>
    <w:uiPriority w:val="99"/>
    <w:unhideWhenUsed/>
    <w:rsid w:val="00903951"/>
  </w:style>
  <w:style w:type="paragraph" w:styleId="aa">
    <w:name w:val="Normal (Web)"/>
    <w:basedOn w:val="a"/>
    <w:uiPriority w:val="99"/>
    <w:qFormat/>
    <w:rsid w:val="00C947B5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b">
    <w:name w:val="Strong"/>
    <w:qFormat/>
    <w:rsid w:val="00AC1270"/>
    <w:rPr>
      <w:rFonts w:ascii="DengXian" w:eastAsia="DengXian" w:hAnsi="DengXi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B38CFA-2B22-4015-A84A-0A11DA65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李洪昌</dc:creator>
  <cp:keywords/>
  <dc:description/>
  <cp:lastModifiedBy>李洪昌</cp:lastModifiedBy>
  <cp:revision>3</cp:revision>
  <dcterms:created xsi:type="dcterms:W3CDTF">2022-11-28T01:26:00Z</dcterms:created>
  <dcterms:modified xsi:type="dcterms:W3CDTF">2022-11-28T02:40:00Z</dcterms:modified>
</cp:coreProperties>
</file>